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434B4" w14:textId="6593A5C3" w:rsidR="00B360A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семей.</w:t>
      </w:r>
    </w:p>
    <w:p w14:paraId="50E9DD42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Указом Президента РФ от 23.01.2024 № 63 «О мерах социальной поддержки многодетных семей» установлено, что многодетной семьей в Российской Федерации является семья, имеющая трех и более детей, статус которой устанавливается бессрочно.</w:t>
      </w:r>
    </w:p>
    <w:p w14:paraId="36DA053E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Вместе с тем,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6507F450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Пунктом 3 Указа определены меры социальной поддержки таких семей, в частности, им в соответствии с законодательством Российской Федерации гарантируются</w:t>
      </w:r>
    </w:p>
    <w:p w14:paraId="7D348444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государственных пособий и выплат в связи с рождением и воспитанием детей;</w:t>
      </w:r>
    </w:p>
    <w:p w14:paraId="62C3116C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мер поддержки в сфере трудовых отношений;</w:t>
      </w:r>
    </w:p>
    <w:p w14:paraId="70804BA6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досрочное назначение женщинам страховой пенсии по старости в связи с рождением и воспитанием трех и более детей;</w:t>
      </w:r>
    </w:p>
    <w:p w14:paraId="04E32355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14:paraId="18CF2975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14:paraId="5E761C1C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Кроме того, регионам рекомендовано ввести, а также определить порядок и условия предоставления следующих дополнительных мер социальной поддержки многодетных семей:</w:t>
      </w:r>
    </w:p>
    <w:p w14:paraId="74213742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бесплатное обеспечение детей в возрасте до 6 лет лекарственными препаратами по рецептам на лекарственные препараты;</w:t>
      </w:r>
    </w:p>
    <w:p w14:paraId="3951DE0E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 и метрополитеном;</w:t>
      </w:r>
    </w:p>
    <w:p w14:paraId="14C09B53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</w:t>
      </w:r>
    </w:p>
    <w:p w14:paraId="3C1389A2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lastRenderedPageBreak/>
        <w:t>- 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обучения;</w:t>
      </w:r>
    </w:p>
    <w:p w14:paraId="5493D475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</w:p>
    <w:p w14:paraId="464A66B8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предоставление льгот по оплате жилья и коммунальных услуг в размере не ниже 30 процентов от установленного размера оплаты;</w:t>
      </w:r>
    </w:p>
    <w:p w14:paraId="2F536EFF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содействие в улучшении жилищных условий и предоставлении земельных участков, обеспеченных необходимыми объектами инфраструктуры.</w:t>
      </w:r>
    </w:p>
    <w:p w14:paraId="2ED5F16C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Решено вести банк данных о многодетных семьях.</w:t>
      </w:r>
    </w:p>
    <w:p w14:paraId="7635BA99" w14:textId="4A637963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Ранее изданные указы по вопросам поддержки многодетных семей признаны утратившими силу.</w:t>
      </w:r>
    </w:p>
    <w:p w14:paraId="6534A301" w14:textId="1BAFB0C2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Разъяснены особенности оплаты труда тренеров- преподавателей с учетом Единых рекомендаций по установлению на федеральном, региональном и местных уровнях систем оплаты труда работников государственных и муниципальных учреждений на 2024 год.</w:t>
      </w:r>
    </w:p>
    <w:p w14:paraId="3E1CBE32" w14:textId="5EE867D9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Письмом Минспорта России от 15.01.2024 «Об оплате и нормировании труда тренеров-преподавателей, реализующих дополнительные образовательные программы спортивной подготовки» сообщается, в частности, что в целях недопущения при оплате труда тренеров-преподавателей и старших тренеров-преподавателей, в том числе переведенных с должностей тренеров, снижения применяемых ранее по этим должностям выплат компенсационного и (или) стимулирующего характера, рекомендуется использовать порядок и размеры таких выплат, предусмотренных по должности «тренер» разделом XII «Особенности формирования систем оплаты труда работников государственных и муниципальных учреждений физической культуры и спорта» Единых рекомендаций.</w:t>
      </w:r>
    </w:p>
    <w:p w14:paraId="14E4CEFE" w14:textId="1B6408A0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Правительством определены особенности осуществления российским юрлицами деятельности, связанной с оказанием услуг по трудоустройству граждан за пределами РФ.</w:t>
      </w:r>
    </w:p>
    <w:p w14:paraId="67ABA914" w14:textId="1C857D19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Установлено, что до принятия федерального закона, исключающего указанную деятельность из числа лицензируемых видов деятельности, ее осуществление российскими юрлицами не требует получения лицензии. Например, организации, планирующие в период до принятия вышеназванного федерального закона оказывать услуги по трудоустройству за границей моряков для работы на судах, плавающих под флагом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государства, должны уведомить Роструд о начале осуществления такой деятельности. Кроме этого, внесенными изменениями до 31.03.2024 продлевается срок действия Постановления Правительства от 29.12.2021 года № 2535, которым утверждено положение о лицензировании деятельности, связанной с оказанием услуг по трудоустройству граждан РФ за пределами территории РФ. Настоящее постановление вступает в силу с 1 апреля 2024 года, за исключением изменений, внесенных в Постановление № 2535, которые вступают в силу со дня официального опубликования настоящего документа.</w:t>
      </w:r>
    </w:p>
    <w:p w14:paraId="481CE3BA" w14:textId="2CAAF4BF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Новое в налоговом законодательстве.</w:t>
      </w:r>
    </w:p>
    <w:p w14:paraId="357C0327" w14:textId="0DC0F7A9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 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лечение, в том числе на лечение членов своей семьи и приобретение лекарств, за исключением расходов на дорогостоящее лечение,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</w:p>
    <w:p w14:paraId="3EE9D953" w14:textId="167A6B1A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О праве работника на получение компенсации за не начисленные выплаты. </w:t>
      </w:r>
    </w:p>
    <w:p w14:paraId="0599B910" w14:textId="716B87A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Федеральным законом от 30.01.2024 № 3-ФЗ статья 236 ТК РФ изложена в новой редакции, согласно которой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</w:t>
      </w:r>
      <w:r w:rsidRPr="00D65199">
        <w:rPr>
          <w:rFonts w:ascii="Times New Roman" w:hAnsi="Times New Roman" w:cs="Times New Roman"/>
          <w:sz w:val="28"/>
          <w:szCs w:val="28"/>
        </w:rPr>
        <w:t xml:space="preserve"> </w:t>
      </w:r>
      <w:r w:rsidRPr="00D65199">
        <w:rPr>
          <w:rFonts w:ascii="Times New Roman" w:hAnsi="Times New Roman" w:cs="Times New Roman"/>
          <w:sz w:val="28"/>
          <w:szCs w:val="28"/>
        </w:rPr>
        <w:t>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начислении, по день фактического расчета включительно.</w:t>
      </w:r>
    </w:p>
    <w:p w14:paraId="2AEDEA51" w14:textId="45400F3F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lastRenderedPageBreak/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4595CE36" w14:textId="258A8BEE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Утверждено новое положение о паспорте гражданина РФ.</w:t>
      </w:r>
    </w:p>
    <w:p w14:paraId="26A9D09D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Постановлением Правительства РФ от 23.12.2023 № 2267 утверждено Положение о паспорте гражданина РФ, которое устанавливает порядок и сроки оформления, выдачи, замены, уничтожения паспорта гражданина РФ, срок действия паспорта и порядок его использования гражданином РФ, а также порядок изъятия недействительного паспорта, порядок ведения учета паспортов и их бланков.</w:t>
      </w:r>
    </w:p>
    <w:p w14:paraId="5BB4EDF3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Оформление, выдача, замена, а также уничтожение паспорта осуществляются МВД России и его территориальными органами.</w:t>
      </w:r>
    </w:p>
    <w:p w14:paraId="47197817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Бланки паспортов, изготовленные до вступления в силу </w:t>
      </w:r>
      <w:proofErr w:type="gramStart"/>
      <w:r w:rsidRPr="00D65199">
        <w:rPr>
          <w:rFonts w:ascii="Times New Roman" w:hAnsi="Times New Roman" w:cs="Times New Roman"/>
          <w:sz w:val="28"/>
          <w:szCs w:val="28"/>
        </w:rPr>
        <w:t>данного постановления</w:t>
      </w:r>
      <w:proofErr w:type="gramEnd"/>
      <w:r w:rsidRPr="00D65199">
        <w:rPr>
          <w:rFonts w:ascii="Times New Roman" w:hAnsi="Times New Roman" w:cs="Times New Roman"/>
          <w:sz w:val="28"/>
          <w:szCs w:val="28"/>
        </w:rPr>
        <w:t xml:space="preserve"> будут использоваться до их израсходования. Паспорта, оформленные на старых бланках, действительны до наступления оснований их очередной замены.</w:t>
      </w:r>
    </w:p>
    <w:p w14:paraId="3720EB04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Пунктами 4, 5 Положения установлен перечень сведений о личности гражданина РФ, которые обязательно вносятся в паспорт.</w:t>
      </w:r>
    </w:p>
    <w:p w14:paraId="04E4B812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Кроме того, пункт 6 Положения содержит отметки, выставляемые в паспорт по желанию гражданина РФ, в частности:</w:t>
      </w:r>
    </w:p>
    <w:p w14:paraId="5576462E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регистрации и расторжении брака;</w:t>
      </w:r>
    </w:p>
    <w:p w14:paraId="356F4308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детях (гражданах Российской Федерации, не достигших 14-летнего возраста;</w:t>
      </w:r>
    </w:p>
    <w:p w14:paraId="086B481A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ранее выданных паспортах;</w:t>
      </w:r>
    </w:p>
    <w:p w14:paraId="16B9B7C8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выданных действительных основных документах, удостоверяющих личность гражданина Российской Федерации за пределами территории РФ;</w:t>
      </w:r>
    </w:p>
    <w:p w14:paraId="6DCC3F2E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 группе крови и резус-факторе;</w:t>
      </w:r>
    </w:p>
    <w:p w14:paraId="4FA0CB82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- об идентификационном номере налогоплательщика;</w:t>
      </w:r>
    </w:p>
    <w:p w14:paraId="66AC278B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Наряду с изложенным, Положением предусмотрена возможность оформления паспортов с электронными носителями информации, в которых будут указываться биометрические персональные данные, содержащиеся на электронном носителе информации (цифровое фотографическое изображение лица владельца паспорта).</w:t>
      </w:r>
    </w:p>
    <w:p w14:paraId="75760038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lastRenderedPageBreak/>
        <w:t>Обратиться за выдачей и заменой паспорта граждане могут лично в МВД России или его территориальные органы, МФЦ, а также посредством ФГИС «</w:t>
      </w:r>
      <w:proofErr w:type="spellStart"/>
      <w:r w:rsidRPr="00D65199">
        <w:rPr>
          <w:rFonts w:ascii="Times New Roman" w:hAnsi="Times New Roman" w:cs="Times New Roman"/>
          <w:sz w:val="28"/>
          <w:szCs w:val="28"/>
        </w:rPr>
        <w:t>Госуслуги.ру</w:t>
      </w:r>
      <w:proofErr w:type="spellEnd"/>
      <w:r w:rsidRPr="00D65199">
        <w:rPr>
          <w:rFonts w:ascii="Times New Roman" w:hAnsi="Times New Roman" w:cs="Times New Roman"/>
          <w:sz w:val="28"/>
          <w:szCs w:val="28"/>
        </w:rPr>
        <w:t>».</w:t>
      </w:r>
    </w:p>
    <w:p w14:paraId="4AF366CB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Согласно пункту 25 Положения документы и личные фотографии для выдачи (замены) паспорта должны быть сданы гражданином РФ не позднее 90 календарных дней после наступления оснований для получения и замены паспорта.</w:t>
      </w:r>
    </w:p>
    <w:p w14:paraId="76BB5CB9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соответствии с пунктами 30,34 Положения срок оформления паспорта не должен превышать 5 рабочих дней со дня приема документов от заявителя.</w:t>
      </w:r>
    </w:p>
    <w:p w14:paraId="0CE12364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При этом на период оформления нового паспорта гражданину РФ МВД России или его территориальным органом выдается временное удостоверение личности гражданина РФ.</w:t>
      </w:r>
    </w:p>
    <w:p w14:paraId="4F26E002" w14:textId="00234646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Пунктом 31 Положения установлено, что паспорт выдается гражданину Российской Федерации при личном обращении. В случае признания заявителя недееспособным паспорт выдается его законному представителю.</w:t>
      </w:r>
    </w:p>
    <w:p w14:paraId="644B892D" w14:textId="77E9B130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 возможности установления осужденному запрета посещать места, в которых может регулярно находиться потерпевший, при назначении наказания в виде ограничения свободы.</w:t>
      </w:r>
    </w:p>
    <w:p w14:paraId="12DA9D04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постановлении Конституционного Суда РФ от 31.01.2024 № 4-П указано, что возрастает потребность в предупреждении совершения осужденным новых преступлений в отношении гражданина, ранее потерпевшего от его противоправного деяния, тем более, если речь идет о преступлении, совершенном по мотивам личной вражды, ненависти или неприязненных отношений.</w:t>
      </w:r>
    </w:p>
    <w:p w14:paraId="67C64B10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частности, применительно к преступлению, предусмотренному статьей 119 УК РФ (угроза убийством или причинением тяжкого вреда здоровью), органы государственной власти должны иметь средства для предупреждения насилия и на них возлагается обязанность предоставить потерпевшим при наличии обоснованных жалоб эффективную защиту от угроз как формы психологического насилия, при котором потерпевший может испытывать страх.</w:t>
      </w:r>
    </w:p>
    <w:p w14:paraId="3D3A8FE3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Ограничение свободы является наказанием, не связанным с изоляцией от общества, и заключается в установлении судом осужденному ограничений из числа перечисленных в части 1 статьи 53 УК РФ.</w:t>
      </w:r>
    </w:p>
    <w:p w14:paraId="0AAEC099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Риски того, что осужденный продолжит попытки контактов с потерпевшим после вынесения приговора, носят во многом не реальный, а вероятностный характер. Тем не менее, сам факт того, что осужденный находится на свободе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и ему не запрещено появляться в местах, в которых может регулярно находиться потерпевший, может усиливать моральные страдания последнего, связанные с совершенным в отношении него преступлением, создавать у него объективно обоснованные опасения за свою безопасность, воспринимаемые им вследствие пережитого опыта как реальные.</w:t>
      </w:r>
    </w:p>
    <w:p w14:paraId="6D1F6BD8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Содержание предусмотренного частью 1 статьи 53 УК РФ ограничения, состоящего в запрете осужденному посещать определенные места, расположенные в пределах территории соответствующего муниципального образования, не исключает того, чтобы в конституционно-правовых целях обеспечения и защиты прав потерпевших рассматривать в качестве таких мест, при наличии оснований для этого, и места, в которых может регулярно находиться потерпевший (места проживания, работы, учебы и другие подобные по степени значимости места), а также включить в определение этих мест конкретное разумное расстояние от них.</w:t>
      </w:r>
    </w:p>
    <w:p w14:paraId="5B3F8515" w14:textId="6AEC650E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Тем самым конкретизация мест, посещение которых ограничивается для осужденного на основании части 1 статьи 53 УК РФ, должна осуществляться (реализовываться) в каждом таком случае судом.</w:t>
      </w:r>
    </w:p>
    <w:p w14:paraId="6564D03A" w14:textId="6601FE58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Уголовная ответственность за неисполнение обязанностей по воспитанию несовершеннолетних.</w:t>
      </w:r>
    </w:p>
    <w:p w14:paraId="3B32EF99" w14:textId="758757BF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несовершеннолетним, образует состав преступления, предусмотренного статьей 156 УК РФ, и наказывается штрафом в размере до 100 000, либо обязательными работами на срок до 440 часов, либо исправительными работами на срок до двух лет, либо принудительными работами на срок до трёх лет с лишением права занимать определенные должности или заниматься определенной деятельностью на срок до пяти лет.</w:t>
      </w:r>
    </w:p>
    <w:p w14:paraId="643E3C29" w14:textId="6AF8A1F3" w:rsidR="00296E88" w:rsidRPr="00D65199" w:rsidRDefault="00296E88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О порядке взаимодействия кредитора с должником в целях возврата просроченной задолженности.</w:t>
      </w:r>
    </w:p>
    <w:p w14:paraId="5A61D931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Частью 1 статьи 4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(далее – Закон № 230-ФЗ) установлено, что при совершении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действий, направленных на возврат просроченной задолженности, кредитор или представитель кредитора вправе взаимодействовать с должником, используя:</w:t>
      </w:r>
    </w:p>
    <w:p w14:paraId="76D61C71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1) личные встречи, телефонные переговоры, автоматизированного интеллектуального агента (непосредственное взаимодействие);</w:t>
      </w:r>
    </w:p>
    <w:p w14:paraId="0F0E0D9F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2) телеграфные сообщения, текстовые, голосовые и иные сообщения, передаваемые по сети связи общего пользования или с использованием сайтов и (или) страниц сайтов в сети «Интернет», а также с использованием ФГИС «</w:t>
      </w:r>
      <w:proofErr w:type="spellStart"/>
      <w:r w:rsidRPr="00D65199">
        <w:rPr>
          <w:rFonts w:ascii="Times New Roman" w:hAnsi="Times New Roman" w:cs="Times New Roman"/>
          <w:sz w:val="28"/>
          <w:szCs w:val="28"/>
        </w:rPr>
        <w:t>Госуслуги.ру</w:t>
      </w:r>
      <w:proofErr w:type="spellEnd"/>
      <w:r w:rsidRPr="00D65199">
        <w:rPr>
          <w:rFonts w:ascii="Times New Roman" w:hAnsi="Times New Roman" w:cs="Times New Roman"/>
          <w:sz w:val="28"/>
          <w:szCs w:val="28"/>
        </w:rPr>
        <w:t>» либо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«Интернет»;</w:t>
      </w:r>
    </w:p>
    <w:p w14:paraId="292D35E6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3) письменную корреспонденцию, доставляемую по месту жительства или месту пребывания должника операторами почтовой связи, курьером или специальными (курьерскими) службами доставки без непосредственного взаимодействия.</w:t>
      </w:r>
    </w:p>
    <w:p w14:paraId="467987AE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При этом в соответствии с частью 3 статьи 2 Федерального закона от 04.08.2023 № 467-ФЗ (далее – Закон № 467-ФЗ) кредитные и микрофинансовые организации в случае принятия решения об осуществлении возврата просроченной задолженности физических лиц способами, предусмотренными пунктами 1 и 2 части 1 статьи 4 Закона № 230-ФЗ, обязаны в течение 30 дней со дня вступления в силу Закона № 467-ФЗ направить в ФССП России соответствующее уведомление по форме, установленной приказом ФССП России от 12.01.2024 № 3.</w:t>
      </w:r>
    </w:p>
    <w:p w14:paraId="5F69E169" w14:textId="0562E8D0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ФССП России в течение 10 рабочих дней со дня поступления такого уведомления включает кредитную или микрофинансовую организацию в перечень кредитных и микрофинансовых организаций, осуществляющих возврат просроченной задолженности физических лиц. За рассмотрение такого уведомления плата не взимается. Кредитные и микрофинансовые организации, не направившие уведомление, утрачивают право взаимодействовать с должниками и иными лицами вышеуказанными способами.</w:t>
      </w:r>
    </w:p>
    <w:p w14:paraId="3E8A3294" w14:textId="2D543956" w:rsidR="00296E88" w:rsidRPr="00D65199" w:rsidRDefault="00D65199" w:rsidP="00296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Топ-5 фраз, которые выдают мошенников. </w:t>
      </w:r>
    </w:p>
    <w:p w14:paraId="33F23CC2" w14:textId="3A304A75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К</w:t>
      </w:r>
      <w:r w:rsidRPr="00D65199">
        <w:rPr>
          <w:rFonts w:ascii="Times New Roman" w:hAnsi="Times New Roman" w:cs="Times New Roman"/>
          <w:sz w:val="28"/>
          <w:szCs w:val="28"/>
        </w:rPr>
        <w:t>ак только услышите их — смело прекращайте разговор.</w:t>
      </w:r>
    </w:p>
    <w:p w14:paraId="6F11AAD3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1. «С вами разговаривает следователь Иван Петров, не кладите трубку!»</w:t>
      </w:r>
    </w:p>
    <w:p w14:paraId="13D36461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Помните, настоящие сотрудники никогда не спрашивают, каким банком вы пользуетесь. Если у вас пытаются узнать, на какую карту вы получаете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зарплату, сколько на ней сейчас денег и когда вы последний раз выводили средства — это мошенники;</w:t>
      </w:r>
    </w:p>
    <w:p w14:paraId="2FBE9D4E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2. «Это служба безопасности банка»</w:t>
      </w:r>
    </w:p>
    <w:p w14:paraId="3EA5786D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Ни один сотрудник банка не будет звонить, чтобы предупредить о сомнительных операциях и переводах. Как правило, злоумышленники пытаются запугивать, торопить или оказывать давление, чтобы отключить логическое мышление у «клиента».</w:t>
      </w:r>
    </w:p>
    <w:p w14:paraId="6D09C530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3. «Никому не говорите об этом звонке, проходит секретная операция!»</w:t>
      </w:r>
    </w:p>
    <w:p w14:paraId="2ADEA93E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Истории могут отличаться друг от друга деталями, но суть одна: мошенники пытаются украсть ваши деньги, а чтобы им помешать, вам якобы надо совершить ряд операций. Например, снять деньги и положить их на другой счет. При этом операция настолько секретная, что никому нельзя об этом рассказывать.</w:t>
      </w:r>
    </w:p>
    <w:p w14:paraId="3B0F6B18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4. «Прямо сейчас на вас кто-то пытается взять кредит!»</w:t>
      </w:r>
    </w:p>
    <w:p w14:paraId="598C3AB4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Цель таких сообщений — вызвать панику и заставить выполнить ряд действий, чтобы «защитить» деньги, а по факту — отдать их мошенникам. На самом деле банк не будет просить вас что-то делать. Если операция кажется ему подозрительной, он может ее заблокировать, но звонить и предупреждать точно не станет.</w:t>
      </w:r>
    </w:p>
    <w:p w14:paraId="73B4F410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5. «Чтобы спасти деньги от мошенников, надо перевести их на защищенный счет»</w:t>
      </w:r>
    </w:p>
    <w:p w14:paraId="00040081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Сотрудники банка никогда не скажут такую фразу, не будут требовать от вас назвать пришедший на телефон код или номер карты. В случае любых подозрений они могут просто заблокировать все перемещения по счету и саму карту до тех пор, пока вы не придете в отделение с паспортом.</w:t>
      </w:r>
    </w:p>
    <w:p w14:paraId="5BAD28E2" w14:textId="57427499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Остерегайтесь </w:t>
      </w:r>
      <w:proofErr w:type="gramStart"/>
      <w:r w:rsidRPr="00D65199">
        <w:rPr>
          <w:rFonts w:ascii="Times New Roman" w:hAnsi="Times New Roman" w:cs="Times New Roman"/>
          <w:sz w:val="28"/>
          <w:szCs w:val="28"/>
        </w:rPr>
        <w:t>мошенников, в случае, если</w:t>
      </w:r>
      <w:proofErr w:type="gramEnd"/>
      <w:r w:rsidRPr="00D65199">
        <w:rPr>
          <w:rFonts w:ascii="Times New Roman" w:hAnsi="Times New Roman" w:cs="Times New Roman"/>
          <w:sz w:val="28"/>
          <w:szCs w:val="28"/>
        </w:rPr>
        <w:t xml:space="preserve"> </w:t>
      </w:r>
      <w:r w:rsidRPr="00D65199">
        <w:rPr>
          <w:rFonts w:ascii="Times New Roman" w:hAnsi="Times New Roman" w:cs="Times New Roman"/>
          <w:sz w:val="28"/>
          <w:szCs w:val="28"/>
        </w:rPr>
        <w:t>стали их жертвой, обращайтесь в пол</w:t>
      </w:r>
      <w:r w:rsidRPr="00D65199">
        <w:rPr>
          <w:rFonts w:ascii="Times New Roman" w:hAnsi="Times New Roman" w:cs="Times New Roman"/>
          <w:sz w:val="28"/>
          <w:szCs w:val="28"/>
        </w:rPr>
        <w:t>и</w:t>
      </w:r>
      <w:r w:rsidRPr="00D65199">
        <w:rPr>
          <w:rFonts w:ascii="Times New Roman" w:hAnsi="Times New Roman" w:cs="Times New Roman"/>
          <w:sz w:val="28"/>
          <w:szCs w:val="28"/>
        </w:rPr>
        <w:t>цию.</w:t>
      </w:r>
    </w:p>
    <w:p w14:paraId="1E6F983E" w14:textId="50FBD0EC" w:rsidR="00D65199" w:rsidRPr="00D65199" w:rsidRDefault="00D65199" w:rsidP="00D65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Постановлением Правительства РФ установлены особенности порядка определения наличия или отсутствия объектов, обладающих признаками археологического наследия, на территориях подлежащих воздействию земляных, строительных и иных работ.</w:t>
      </w:r>
    </w:p>
    <w:p w14:paraId="4334676F" w14:textId="77777777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30.12.2023№ 2418 установлены особенности порядка определения наличия или отсутствия объектов, обладающих признаками объекта археологического наследия, на территориях, подлежащих воздействию изыскательских, земляных, </w:t>
      </w:r>
      <w:r w:rsidRPr="00D65199">
        <w:rPr>
          <w:rFonts w:ascii="Times New Roman" w:hAnsi="Times New Roman" w:cs="Times New Roman"/>
          <w:sz w:val="28"/>
          <w:szCs w:val="28"/>
        </w:rPr>
        <w:lastRenderedPageBreak/>
        <w:t>строительных, мелиоративных, хозяйственных работ, указанных в ст. 30 Федерального закона от 25.06.2002 № 73-ФЗ «Об объектах культурного наследия (памятниках истории и культуры) народов Российской Федерации» работ по использованию лесов и иных работ.</w:t>
      </w:r>
    </w:p>
    <w:p w14:paraId="3A4D7CCF" w14:textId="21EB2D3C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Указанные особенности подлежат применению до утверждения критериев определения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наследия.</w:t>
      </w:r>
    </w:p>
    <w:p w14:paraId="56331955" w14:textId="30672734" w:rsidR="00D65199" w:rsidRPr="00D65199" w:rsidRDefault="00D65199" w:rsidP="00D65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пенсии.</w:t>
      </w:r>
    </w:p>
    <w:p w14:paraId="0057CE29" w14:textId="684E4B1B" w:rsidR="00D65199" w:rsidRPr="00D65199" w:rsidRDefault="00D65199" w:rsidP="00D65199">
      <w:pPr>
        <w:rPr>
          <w:rFonts w:ascii="Times New Roman" w:hAnsi="Times New Roman" w:cs="Times New Roman"/>
          <w:sz w:val="28"/>
          <w:szCs w:val="28"/>
        </w:rPr>
      </w:pPr>
      <w:r w:rsidRPr="00D651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11.03.2024 № 47-ФЗ "О внесении изменений в статьи 10 и 17 Федерального закона "О страховых пенсиях"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 Размер доплаты равен 1/3 от размера фиксированной ежемесячной выплаты к страховой пенсии, установленной частью 1 статьи 16 Федерального закона "О страховых пенсиях". Повышение фиксированной выплаты устанавливается на каждого нетрудоспособного члена семьи, недееспособного инвалида с детства, но не более чем на трех членов семьи.</w:t>
      </w:r>
    </w:p>
    <w:p w14:paraId="323AD7D0" w14:textId="77777777" w:rsidR="00296E88" w:rsidRPr="00D65199" w:rsidRDefault="00296E88" w:rsidP="00296E88">
      <w:pPr>
        <w:rPr>
          <w:rFonts w:ascii="Times New Roman" w:hAnsi="Times New Roman" w:cs="Times New Roman"/>
          <w:sz w:val="28"/>
          <w:szCs w:val="28"/>
        </w:rPr>
      </w:pPr>
    </w:p>
    <w:sectPr w:rsidR="00296E88" w:rsidRPr="00D6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672"/>
    <w:multiLevelType w:val="hybridMultilevel"/>
    <w:tmpl w:val="93C4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10FA"/>
    <w:multiLevelType w:val="hybridMultilevel"/>
    <w:tmpl w:val="F0F69202"/>
    <w:lvl w:ilvl="0" w:tplc="6904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4C"/>
    <w:rsid w:val="0026084C"/>
    <w:rsid w:val="00296E88"/>
    <w:rsid w:val="002E5871"/>
    <w:rsid w:val="00D36CEF"/>
    <w:rsid w:val="00D6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D359"/>
  <w15:chartTrackingRefBased/>
  <w15:docId w15:val="{E3A5196C-9E53-4323-AB28-34BEBC9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2024-03-21T05:22:00Z</dcterms:created>
  <dcterms:modified xsi:type="dcterms:W3CDTF">2024-03-21T05:38:00Z</dcterms:modified>
</cp:coreProperties>
</file>